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5A72" w14:textId="2C7CBABC" w:rsidR="0000094C" w:rsidRDefault="00000000" w:rsidP="00467262">
      <w:pPr>
        <w:pStyle w:val="1"/>
        <w:jc w:val="center"/>
        <w:rPr>
          <w:rFonts w:asciiTheme="minorEastAsia" w:eastAsiaTheme="minorEastAsia" w:hAnsiTheme="minorEastAsia" w:hint="eastAsia"/>
          <w:color w:val="000000" w:themeColor="text1"/>
          <w:sz w:val="32"/>
          <w:szCs w:val="32"/>
          <w:lang w:eastAsia="ja-JP"/>
        </w:rPr>
      </w:pPr>
      <w:r w:rsidRPr="00467262">
        <w:rPr>
          <w:rFonts w:asciiTheme="minorEastAsia" w:eastAsiaTheme="minorEastAsia" w:hAnsiTheme="minorEastAsia" w:hint="eastAsia"/>
          <w:color w:val="000000" w:themeColor="text1"/>
          <w:sz w:val="32"/>
          <w:szCs w:val="32"/>
          <w:lang w:eastAsia="ja-JP"/>
        </w:rPr>
        <w:t>図解でわかるストックオプションの仕組み</w:t>
      </w:r>
    </w:p>
    <w:p w14:paraId="5704FD68" w14:textId="77777777" w:rsidR="00467262" w:rsidRPr="00467262" w:rsidRDefault="00467262" w:rsidP="00467262">
      <w:pPr>
        <w:rPr>
          <w:rFonts w:hint="eastAsia"/>
          <w:lang w:eastAsia="ja-JP"/>
        </w:rPr>
      </w:pPr>
    </w:p>
    <w:p w14:paraId="07EAF91D" w14:textId="02AACC17" w:rsidR="0048614B" w:rsidRPr="00467262" w:rsidRDefault="00000000">
      <w:pPr>
        <w:pStyle w:val="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1.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ストックオプション（</w:t>
      </w: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SO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）とは</w:t>
      </w:r>
    </w:p>
    <w:p w14:paraId="399A0268" w14:textId="64E85AD5" w:rsidR="005733DD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ストックオプション（</w:t>
      </w:r>
      <w:r w:rsidRPr="00467262">
        <w:rPr>
          <w:rFonts w:asciiTheme="minorEastAsia" w:hAnsiTheme="minorEastAsia"/>
          <w:color w:val="000000" w:themeColor="text1"/>
          <w:lang w:eastAsia="ja-JP"/>
        </w:rPr>
        <w:t>Stock Option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：</w:t>
      </w:r>
      <w:r w:rsidRPr="00467262">
        <w:rPr>
          <w:rFonts w:asciiTheme="minorEastAsia" w:hAnsiTheme="minorEastAsia"/>
          <w:color w:val="000000" w:themeColor="text1"/>
          <w:lang w:eastAsia="ja-JP"/>
        </w:rPr>
        <w:t>SO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）は、企業が役職員に対して、将来あらかじめ定められた価格（行使価格）で自社株式を購入できる権利を付与する制度です。</w:t>
      </w:r>
    </w:p>
    <w:p w14:paraId="5CE4E82A" w14:textId="77777777" w:rsidR="00467262" w:rsidRPr="00467262" w:rsidRDefault="00467262">
      <w:pPr>
        <w:rPr>
          <w:rFonts w:asciiTheme="minorEastAsia" w:hAnsiTheme="minorEastAsia" w:hint="eastAsia"/>
          <w:color w:val="000000" w:themeColor="text1"/>
          <w:lang w:eastAsia="ja-JP"/>
        </w:rPr>
      </w:pPr>
    </w:p>
    <w:p w14:paraId="6DF7BD2D" w14:textId="6D643FA8" w:rsidR="0048614B" w:rsidRPr="00467262" w:rsidRDefault="00000000">
      <w:pPr>
        <w:pStyle w:val="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2.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ストックオプションの種類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958"/>
        <w:gridCol w:w="2880"/>
      </w:tblGrid>
      <w:tr w:rsidR="00467262" w:rsidRPr="00467262" w14:paraId="64D99A81" w14:textId="77777777" w:rsidTr="0000094C">
        <w:tc>
          <w:tcPr>
            <w:tcW w:w="2802" w:type="dxa"/>
          </w:tcPr>
          <w:p w14:paraId="54215E68" w14:textId="77777777" w:rsidR="0048614B" w:rsidRPr="00467262" w:rsidRDefault="00000000" w:rsidP="008943D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proofErr w:type="spellStart"/>
            <w:r w:rsidRPr="00467262">
              <w:rPr>
                <w:rFonts w:asciiTheme="minorEastAsia" w:hAnsiTheme="minorEastAsia" w:hint="eastAsia"/>
                <w:color w:val="000000" w:themeColor="text1"/>
              </w:rPr>
              <w:t>種類</w:t>
            </w:r>
            <w:proofErr w:type="spellEnd"/>
          </w:p>
        </w:tc>
        <w:tc>
          <w:tcPr>
            <w:tcW w:w="2958" w:type="dxa"/>
          </w:tcPr>
          <w:p w14:paraId="1F2FADC0" w14:textId="77777777" w:rsidR="0048614B" w:rsidRPr="00467262" w:rsidRDefault="00000000" w:rsidP="008943D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</w:rPr>
              <w:t>概要</w:t>
            </w:r>
          </w:p>
        </w:tc>
        <w:tc>
          <w:tcPr>
            <w:tcW w:w="2880" w:type="dxa"/>
          </w:tcPr>
          <w:p w14:paraId="03295CCB" w14:textId="77777777" w:rsidR="0048614B" w:rsidRPr="00467262" w:rsidRDefault="00000000" w:rsidP="008943D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</w:rPr>
              <w:t>特徴</w:t>
            </w:r>
          </w:p>
        </w:tc>
      </w:tr>
      <w:tr w:rsidR="00467262" w:rsidRPr="00467262" w14:paraId="5F2F8304" w14:textId="77777777" w:rsidTr="0000094C">
        <w:tc>
          <w:tcPr>
            <w:tcW w:w="2802" w:type="dxa"/>
          </w:tcPr>
          <w:p w14:paraId="0B094101" w14:textId="35FF059C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税制適格ストックオプション</w:t>
            </w:r>
          </w:p>
        </w:tc>
        <w:tc>
          <w:tcPr>
            <w:tcW w:w="2958" w:type="dxa"/>
          </w:tcPr>
          <w:p w14:paraId="7D0F6A53" w14:textId="39EAFDCE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税制要件を満たす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ストックオプション</w:t>
            </w:r>
          </w:p>
        </w:tc>
        <w:tc>
          <w:tcPr>
            <w:tcW w:w="2880" w:type="dxa"/>
          </w:tcPr>
          <w:p w14:paraId="39D193CC" w14:textId="77777777" w:rsidR="005733DD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行使時課税なし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。</w:t>
            </w:r>
          </w:p>
          <w:p w14:paraId="536EDD60" w14:textId="0717964A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売却時に譲渡所得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が</w:t>
            </w: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課税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される。</w:t>
            </w:r>
          </w:p>
        </w:tc>
      </w:tr>
      <w:tr w:rsidR="00467262" w:rsidRPr="00467262" w14:paraId="40AED0D1" w14:textId="77777777" w:rsidTr="0000094C">
        <w:tc>
          <w:tcPr>
            <w:tcW w:w="2802" w:type="dxa"/>
          </w:tcPr>
          <w:p w14:paraId="3CC213CF" w14:textId="05330E68" w:rsidR="0048614B" w:rsidRPr="00467262" w:rsidRDefault="00F6361A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税制非適格ストックオプション</w:t>
            </w:r>
          </w:p>
        </w:tc>
        <w:tc>
          <w:tcPr>
            <w:tcW w:w="2958" w:type="dxa"/>
          </w:tcPr>
          <w:p w14:paraId="7C7EC07D" w14:textId="2EED4F2E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税制要件を満たさない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ストックオプション</w:t>
            </w:r>
          </w:p>
        </w:tc>
        <w:tc>
          <w:tcPr>
            <w:tcW w:w="2880" w:type="dxa"/>
          </w:tcPr>
          <w:p w14:paraId="6055ED51" w14:textId="77777777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行使時に給与課税が発生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。</w:t>
            </w:r>
          </w:p>
          <w:p w14:paraId="25AB88E0" w14:textId="2AC7D37B" w:rsidR="005733DD" w:rsidRPr="00467262" w:rsidRDefault="005733D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株式売却時には譲渡所得（申告分離課税）として課税される。</w:t>
            </w:r>
          </w:p>
        </w:tc>
      </w:tr>
      <w:tr w:rsidR="00467262" w:rsidRPr="00467262" w14:paraId="1C4EF3CB" w14:textId="77777777" w:rsidTr="0000094C">
        <w:tc>
          <w:tcPr>
            <w:tcW w:w="2802" w:type="dxa"/>
          </w:tcPr>
          <w:p w14:paraId="0D8DBACB" w14:textId="77777777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有償ストックオプション（</w:t>
            </w:r>
            <w:r w:rsidRPr="00467262">
              <w:rPr>
                <w:rFonts w:asciiTheme="minorEastAsia" w:hAnsiTheme="minorEastAsia"/>
                <w:color w:val="000000" w:themeColor="text1"/>
                <w:lang w:eastAsia="ja-JP"/>
              </w:rPr>
              <w:t>RSU</w:t>
            </w: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類似）</w:t>
            </w:r>
          </w:p>
        </w:tc>
        <w:tc>
          <w:tcPr>
            <w:tcW w:w="2958" w:type="dxa"/>
          </w:tcPr>
          <w:p w14:paraId="1143C18F" w14:textId="61035753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権利取得に対価を支払う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ストックオプション</w:t>
            </w:r>
          </w:p>
        </w:tc>
        <w:tc>
          <w:tcPr>
            <w:tcW w:w="2880" w:type="dxa"/>
          </w:tcPr>
          <w:p w14:paraId="012446AC" w14:textId="77777777" w:rsidR="0048614B" w:rsidRPr="00467262" w:rsidRDefault="00000000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希薄化を抑えつつ柔軟な設計が可能</w:t>
            </w:r>
            <w:r w:rsidR="005733DD"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。</w:t>
            </w:r>
          </w:p>
          <w:p w14:paraId="6F654D2F" w14:textId="29CCB95A" w:rsidR="005733DD" w:rsidRPr="00467262" w:rsidRDefault="005733D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467262">
              <w:rPr>
                <w:rFonts w:asciiTheme="minorEastAsia" w:hAnsiTheme="minorEastAsia" w:hint="eastAsia"/>
                <w:color w:val="000000" w:themeColor="text1"/>
                <w:lang w:eastAsia="ja-JP"/>
              </w:rPr>
              <w:t>権利行使時は課税されず、株式の売却時にのみ譲渡 所得として課税される。</w:t>
            </w:r>
          </w:p>
        </w:tc>
      </w:tr>
    </w:tbl>
    <w:p w14:paraId="74851963" w14:textId="77777777" w:rsidR="008943DA" w:rsidRPr="00467262" w:rsidRDefault="008943DA" w:rsidP="0000094C">
      <w:pPr>
        <w:rPr>
          <w:rFonts w:asciiTheme="minorEastAsia" w:hAnsiTheme="minorEastAsia"/>
          <w:color w:val="000000" w:themeColor="text1"/>
          <w:lang w:eastAsia="ja-JP"/>
        </w:rPr>
      </w:pPr>
    </w:p>
    <w:p w14:paraId="1BEB85FE" w14:textId="5839ED28" w:rsidR="0048614B" w:rsidRPr="00467262" w:rsidRDefault="00000000">
      <w:pPr>
        <w:pStyle w:val="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3.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ストックオプションのメリット</w:t>
      </w:r>
    </w:p>
    <w:p w14:paraId="525F48E8" w14:textId="77777777" w:rsidR="00467262" w:rsidRDefault="00467262">
      <w:pPr>
        <w:rPr>
          <w:rFonts w:asciiTheme="minorEastAsia" w:hAnsiTheme="minorEastAsia"/>
          <w:color w:val="000000" w:themeColor="text1"/>
          <w:lang w:eastAsia="ja-JP"/>
        </w:rPr>
      </w:pPr>
    </w:p>
    <w:p w14:paraId="3580338C" w14:textId="54AB8021" w:rsidR="0048614B" w:rsidRPr="00467262" w:rsidRDefault="00000000">
      <w:pPr>
        <w:rPr>
          <w:rFonts w:asciiTheme="minorEastAsia" w:hAnsiTheme="minorEastAsia"/>
          <w:b/>
          <w:bCs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t>【企業側のメリット】</w:t>
      </w:r>
    </w:p>
    <w:p w14:paraId="0B335C20" w14:textId="77777777" w:rsidR="00467262" w:rsidRPr="00467262" w:rsidRDefault="00000000" w:rsidP="00467262">
      <w:pPr>
        <w:pStyle w:val="ae"/>
        <w:numPr>
          <w:ilvl w:val="0"/>
          <w:numId w:val="10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人材の採用・定着を促進できる</w:t>
      </w:r>
    </w:p>
    <w:p w14:paraId="035FDAAF" w14:textId="77777777" w:rsidR="00467262" w:rsidRPr="00467262" w:rsidRDefault="00000000" w:rsidP="00467262">
      <w:pPr>
        <w:pStyle w:val="ae"/>
        <w:numPr>
          <w:ilvl w:val="0"/>
          <w:numId w:val="10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キャッシュアウトを抑えつつ報酬を強化</w:t>
      </w:r>
    </w:p>
    <w:p w14:paraId="12464646" w14:textId="41660F25" w:rsidR="0048614B" w:rsidRPr="00467262" w:rsidRDefault="00000000" w:rsidP="00467262">
      <w:pPr>
        <w:pStyle w:val="ae"/>
        <w:numPr>
          <w:ilvl w:val="0"/>
          <w:numId w:val="10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企業価値向上へのインセンティブ設計が可能</w:t>
      </w:r>
    </w:p>
    <w:p w14:paraId="3520D6A8" w14:textId="77777777" w:rsidR="008943DA" w:rsidRPr="00467262" w:rsidRDefault="008943DA">
      <w:pPr>
        <w:rPr>
          <w:rFonts w:asciiTheme="minorEastAsia" w:hAnsiTheme="minorEastAsia"/>
          <w:color w:val="000000" w:themeColor="text1"/>
          <w:lang w:eastAsia="ja-JP"/>
        </w:rPr>
      </w:pPr>
    </w:p>
    <w:p w14:paraId="2D0298B0" w14:textId="368C2B61" w:rsidR="0048614B" w:rsidRPr="00467262" w:rsidRDefault="00000000">
      <w:pPr>
        <w:rPr>
          <w:rFonts w:asciiTheme="minorEastAsia" w:hAnsiTheme="minorEastAsia"/>
          <w:b/>
          <w:bCs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lastRenderedPageBreak/>
        <w:t>【従業員側のメリット】</w:t>
      </w:r>
    </w:p>
    <w:p w14:paraId="32FBF10B" w14:textId="77777777" w:rsidR="00467262" w:rsidRPr="00467262" w:rsidRDefault="00000000" w:rsidP="00467262">
      <w:pPr>
        <w:pStyle w:val="ae"/>
        <w:numPr>
          <w:ilvl w:val="0"/>
          <w:numId w:val="11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株価上昇による利益獲得のチャンス</w:t>
      </w:r>
    </w:p>
    <w:p w14:paraId="731C41D5" w14:textId="77777777" w:rsidR="00467262" w:rsidRPr="00467262" w:rsidRDefault="00000000" w:rsidP="00467262">
      <w:pPr>
        <w:pStyle w:val="ae"/>
        <w:numPr>
          <w:ilvl w:val="0"/>
          <w:numId w:val="11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企業成長と個人報酬が連動</w:t>
      </w:r>
    </w:p>
    <w:p w14:paraId="57A866B0" w14:textId="43AA30BB" w:rsidR="0048614B" w:rsidRPr="00467262" w:rsidRDefault="00000000" w:rsidP="00467262">
      <w:pPr>
        <w:pStyle w:val="ae"/>
        <w:numPr>
          <w:ilvl w:val="0"/>
          <w:numId w:val="11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税制適格</w:t>
      </w:r>
      <w:r w:rsidR="005733DD" w:rsidRPr="00467262">
        <w:rPr>
          <w:rFonts w:asciiTheme="minorEastAsia" w:hAnsiTheme="minorEastAsia" w:hint="eastAsia"/>
          <w:color w:val="000000" w:themeColor="text1"/>
          <w:lang w:eastAsia="ja-JP"/>
        </w:rPr>
        <w:t>ストックオプション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なら税負担が軽減</w:t>
      </w:r>
    </w:p>
    <w:p w14:paraId="5BDB46BD" w14:textId="77777777" w:rsidR="005733DD" w:rsidRPr="00467262" w:rsidRDefault="005733DD">
      <w:pPr>
        <w:rPr>
          <w:rFonts w:asciiTheme="minorEastAsia" w:hAnsiTheme="minorEastAsia"/>
          <w:color w:val="000000" w:themeColor="text1"/>
          <w:lang w:eastAsia="ja-JP"/>
        </w:rPr>
      </w:pPr>
    </w:p>
    <w:p w14:paraId="7278441A" w14:textId="7EE83634" w:rsidR="0048614B" w:rsidRPr="00467262" w:rsidRDefault="00000000">
      <w:pPr>
        <w:pStyle w:val="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4.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権利付与から行使までの流れ</w:t>
      </w:r>
    </w:p>
    <w:p w14:paraId="0AD9954E" w14:textId="77777777" w:rsidR="0048614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以下はストックオプションの一般的なフローを図解したものです。</w:t>
      </w:r>
    </w:p>
    <w:p w14:paraId="528807FB" w14:textId="33F62749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①権利付与（</w:t>
      </w:r>
      <w:r w:rsidRPr="00467262">
        <w:rPr>
          <w:rFonts w:asciiTheme="minorEastAsia" w:hAnsiTheme="minorEastAsia"/>
          <w:color w:val="000000" w:themeColor="text1"/>
          <w:lang w:eastAsia="ja-JP"/>
        </w:rPr>
        <w:t>Grant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</w:p>
    <w:p w14:paraId="70E5253B" w14:textId="77777777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 xml:space="preserve">　　　↓（ベスティング：在籍・期間条件の付与）</w:t>
      </w:r>
    </w:p>
    <w:p w14:paraId="72A4EB1B" w14:textId="054DF8F6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②権利確定（</w:t>
      </w:r>
      <w:r w:rsidRPr="00467262">
        <w:rPr>
          <w:rFonts w:asciiTheme="minorEastAsia" w:hAnsiTheme="minorEastAsia"/>
          <w:color w:val="000000" w:themeColor="text1"/>
          <w:lang w:eastAsia="ja-JP"/>
        </w:rPr>
        <w:t>Vesting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</w:p>
    <w:p w14:paraId="2EF6DE01" w14:textId="77777777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 xml:space="preserve">　　　↓（行使可能期間）</w:t>
      </w:r>
    </w:p>
    <w:p w14:paraId="3CB19BEC" w14:textId="1B5495E3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③行使（</w:t>
      </w:r>
      <w:r w:rsidRPr="00467262">
        <w:rPr>
          <w:rFonts w:asciiTheme="minorEastAsia" w:hAnsiTheme="minorEastAsia"/>
          <w:color w:val="000000" w:themeColor="text1"/>
          <w:lang w:eastAsia="ja-JP"/>
        </w:rPr>
        <w:t>Exercise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</w:p>
    <w:p w14:paraId="3B927D55" w14:textId="77777777" w:rsidR="0003393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 xml:space="preserve">　　　↓（株式取得）</w:t>
      </w:r>
    </w:p>
    <w:p w14:paraId="58418E8D" w14:textId="1706F8DD" w:rsidR="0048614B" w:rsidRPr="00467262" w:rsidRDefault="00000000">
      <w:p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④売却（</w:t>
      </w:r>
      <w:r w:rsidRPr="00467262">
        <w:rPr>
          <w:rFonts w:asciiTheme="minorEastAsia" w:hAnsiTheme="minorEastAsia"/>
          <w:color w:val="000000" w:themeColor="text1"/>
          <w:lang w:eastAsia="ja-JP"/>
        </w:rPr>
        <w:t>Sell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  <w:r w:rsidRPr="00467262">
        <w:rPr>
          <w:rFonts w:asciiTheme="minorEastAsia" w:hAnsiTheme="minorEastAsia"/>
          <w:color w:val="000000" w:themeColor="text1"/>
          <w:lang w:eastAsia="ja-JP"/>
        </w:rPr>
        <w:t xml:space="preserve"> 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→</w:t>
      </w:r>
      <w:r w:rsidRPr="00467262">
        <w:rPr>
          <w:rFonts w:asciiTheme="minorEastAsia" w:hAnsiTheme="minorEastAsia"/>
          <w:color w:val="000000" w:themeColor="text1"/>
          <w:lang w:eastAsia="ja-JP"/>
        </w:rPr>
        <w:t xml:space="preserve"> 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利益が確定</w:t>
      </w:r>
    </w:p>
    <w:p w14:paraId="0C4950A8" w14:textId="77777777" w:rsidR="005733DD" w:rsidRPr="00467262" w:rsidRDefault="005733DD">
      <w:pPr>
        <w:rPr>
          <w:rFonts w:asciiTheme="minorEastAsia" w:hAnsiTheme="minorEastAsia"/>
          <w:color w:val="000000" w:themeColor="text1"/>
          <w:lang w:eastAsia="ja-JP"/>
        </w:rPr>
      </w:pPr>
    </w:p>
    <w:p w14:paraId="4A98FDAE" w14:textId="6A48CC9B" w:rsidR="00467262" w:rsidRDefault="00000000" w:rsidP="00467262">
      <w:pPr>
        <w:pStyle w:val="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eastAsiaTheme="minorEastAsia" w:hAnsiTheme="minorEastAsia"/>
          <w:color w:val="000000" w:themeColor="text1"/>
          <w:lang w:eastAsia="ja-JP"/>
        </w:rPr>
        <w:t>5.</w:t>
      </w:r>
      <w:r w:rsidRPr="00467262">
        <w:rPr>
          <w:rFonts w:asciiTheme="minorEastAsia" w:eastAsiaTheme="minorEastAsia" w:hAnsiTheme="minorEastAsia" w:hint="eastAsia"/>
          <w:color w:val="000000" w:themeColor="text1"/>
          <w:lang w:eastAsia="ja-JP"/>
        </w:rPr>
        <w:t>税制適格と非適格の違い</w:t>
      </w:r>
    </w:p>
    <w:p w14:paraId="3D1717DC" w14:textId="77777777" w:rsidR="00467262" w:rsidRPr="00467262" w:rsidRDefault="00467262" w:rsidP="00467262">
      <w:pPr>
        <w:rPr>
          <w:rFonts w:hint="eastAsia"/>
          <w:lang w:eastAsia="ja-JP"/>
        </w:rPr>
      </w:pPr>
    </w:p>
    <w:p w14:paraId="591C46B1" w14:textId="5B3CE7E4" w:rsidR="0003393B" w:rsidRPr="00467262" w:rsidRDefault="00000000">
      <w:pPr>
        <w:rPr>
          <w:rFonts w:asciiTheme="minorEastAsia" w:hAnsiTheme="minorEastAsia"/>
          <w:b/>
          <w:bCs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t>税制適格</w:t>
      </w:r>
      <w:r w:rsidR="005733DD"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t>ストックオプション</w:t>
      </w:r>
    </w:p>
    <w:p w14:paraId="51B0AB2F" w14:textId="77777777" w:rsidR="00467262" w:rsidRPr="00467262" w:rsidRDefault="00000000" w:rsidP="00467262">
      <w:pPr>
        <w:pStyle w:val="ae"/>
        <w:numPr>
          <w:ilvl w:val="0"/>
          <w:numId w:val="13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行使：課税なし</w:t>
      </w:r>
    </w:p>
    <w:p w14:paraId="7BB485E2" w14:textId="40E9500C" w:rsidR="0039130E" w:rsidRPr="00467262" w:rsidRDefault="00000000" w:rsidP="00467262">
      <w:pPr>
        <w:pStyle w:val="ae"/>
        <w:numPr>
          <w:ilvl w:val="0"/>
          <w:numId w:val="13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売却：譲渡所得（</w:t>
      </w:r>
      <w:r w:rsidRPr="00467262">
        <w:rPr>
          <w:rFonts w:asciiTheme="minorEastAsia" w:hAnsiTheme="minorEastAsia"/>
          <w:color w:val="000000" w:themeColor="text1"/>
          <w:lang w:eastAsia="ja-JP"/>
        </w:rPr>
        <w:t>20.315%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</w:p>
    <w:p w14:paraId="3CD764AC" w14:textId="57812D94" w:rsidR="0003393B" w:rsidRPr="00467262" w:rsidRDefault="0003393B">
      <w:pPr>
        <w:rPr>
          <w:rFonts w:asciiTheme="minorEastAsia" w:hAnsiTheme="minorEastAsia"/>
          <w:color w:val="000000" w:themeColor="text1"/>
          <w:lang w:eastAsia="ja-JP"/>
        </w:rPr>
      </w:pPr>
    </w:p>
    <w:p w14:paraId="7C6CE71E" w14:textId="77777777" w:rsidR="00467262" w:rsidRPr="00467262" w:rsidRDefault="00F6361A">
      <w:pPr>
        <w:rPr>
          <w:rFonts w:asciiTheme="minorEastAsia" w:hAnsiTheme="minorEastAsia"/>
          <w:b/>
          <w:bCs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t>税制非適格</w:t>
      </w:r>
      <w:r w:rsidR="005733DD" w:rsidRPr="00467262">
        <w:rPr>
          <w:rFonts w:asciiTheme="minorEastAsia" w:hAnsiTheme="minorEastAsia" w:hint="eastAsia"/>
          <w:b/>
          <w:bCs/>
          <w:color w:val="000000" w:themeColor="text1"/>
          <w:lang w:eastAsia="ja-JP"/>
        </w:rPr>
        <w:t>ストックオプション</w:t>
      </w:r>
    </w:p>
    <w:p w14:paraId="50954C29" w14:textId="77777777" w:rsidR="00467262" w:rsidRPr="00467262" w:rsidRDefault="00000000" w:rsidP="00467262">
      <w:pPr>
        <w:pStyle w:val="ae"/>
        <w:numPr>
          <w:ilvl w:val="0"/>
          <w:numId w:val="14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行使：給与課税（累進税率）</w:t>
      </w:r>
    </w:p>
    <w:p w14:paraId="274529F9" w14:textId="679B6C44" w:rsidR="0048614B" w:rsidRPr="00467262" w:rsidRDefault="00000000" w:rsidP="00467262">
      <w:pPr>
        <w:pStyle w:val="ae"/>
        <w:numPr>
          <w:ilvl w:val="0"/>
          <w:numId w:val="14"/>
        </w:numPr>
        <w:rPr>
          <w:rFonts w:asciiTheme="minorEastAsia" w:hAnsiTheme="minorEastAsia"/>
          <w:color w:val="000000" w:themeColor="text1"/>
          <w:lang w:eastAsia="ja-JP"/>
        </w:rPr>
      </w:pPr>
      <w:r w:rsidRPr="00467262">
        <w:rPr>
          <w:rFonts w:asciiTheme="minorEastAsia" w:hAnsiTheme="minorEastAsia" w:hint="eastAsia"/>
          <w:color w:val="000000" w:themeColor="text1"/>
          <w:lang w:eastAsia="ja-JP"/>
        </w:rPr>
        <w:t>売却：譲渡所得（</w:t>
      </w:r>
      <w:r w:rsidRPr="00467262">
        <w:rPr>
          <w:rFonts w:asciiTheme="minorEastAsia" w:hAnsiTheme="minorEastAsia"/>
          <w:color w:val="000000" w:themeColor="text1"/>
          <w:lang w:eastAsia="ja-JP"/>
        </w:rPr>
        <w:t>20.315%</w:t>
      </w:r>
      <w:r w:rsidRPr="00467262">
        <w:rPr>
          <w:rFonts w:asciiTheme="minorEastAsia" w:hAnsiTheme="minorEastAsia" w:hint="eastAsia"/>
          <w:color w:val="000000" w:themeColor="text1"/>
          <w:lang w:eastAsia="ja-JP"/>
        </w:rPr>
        <w:t>）</w:t>
      </w:r>
    </w:p>
    <w:sectPr w:rsidR="0048614B" w:rsidRPr="004672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1067A"/>
    <w:multiLevelType w:val="hybridMultilevel"/>
    <w:tmpl w:val="4B50A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F2636B"/>
    <w:multiLevelType w:val="hybridMultilevel"/>
    <w:tmpl w:val="821A8B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021B38"/>
    <w:multiLevelType w:val="hybridMultilevel"/>
    <w:tmpl w:val="D39805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CD4BD3"/>
    <w:multiLevelType w:val="hybridMultilevel"/>
    <w:tmpl w:val="48F09D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17B4E35"/>
    <w:multiLevelType w:val="hybridMultilevel"/>
    <w:tmpl w:val="1B68B1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4339416">
    <w:abstractNumId w:val="8"/>
  </w:num>
  <w:num w:numId="2" w16cid:durableId="1949701061">
    <w:abstractNumId w:val="6"/>
  </w:num>
  <w:num w:numId="3" w16cid:durableId="1395083836">
    <w:abstractNumId w:val="5"/>
  </w:num>
  <w:num w:numId="4" w16cid:durableId="1189640933">
    <w:abstractNumId w:val="4"/>
  </w:num>
  <w:num w:numId="5" w16cid:durableId="675425435">
    <w:abstractNumId w:val="7"/>
  </w:num>
  <w:num w:numId="6" w16cid:durableId="932590968">
    <w:abstractNumId w:val="3"/>
  </w:num>
  <w:num w:numId="7" w16cid:durableId="576746154">
    <w:abstractNumId w:val="2"/>
  </w:num>
  <w:num w:numId="8" w16cid:durableId="600378026">
    <w:abstractNumId w:val="1"/>
  </w:num>
  <w:num w:numId="9" w16cid:durableId="1229413089">
    <w:abstractNumId w:val="0"/>
  </w:num>
  <w:num w:numId="10" w16cid:durableId="915551798">
    <w:abstractNumId w:val="13"/>
  </w:num>
  <w:num w:numId="11" w16cid:durableId="1193424305">
    <w:abstractNumId w:val="9"/>
  </w:num>
  <w:num w:numId="12" w16cid:durableId="1792935516">
    <w:abstractNumId w:val="10"/>
  </w:num>
  <w:num w:numId="13" w16cid:durableId="1345746766">
    <w:abstractNumId w:val="11"/>
  </w:num>
  <w:num w:numId="14" w16cid:durableId="1860003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94C"/>
    <w:rsid w:val="0003393B"/>
    <w:rsid w:val="00034616"/>
    <w:rsid w:val="0006063C"/>
    <w:rsid w:val="0015074B"/>
    <w:rsid w:val="001545BF"/>
    <w:rsid w:val="0029639D"/>
    <w:rsid w:val="00326F90"/>
    <w:rsid w:val="0039130E"/>
    <w:rsid w:val="00467262"/>
    <w:rsid w:val="0048614B"/>
    <w:rsid w:val="005733DD"/>
    <w:rsid w:val="007833EA"/>
    <w:rsid w:val="00826DAC"/>
    <w:rsid w:val="008943DA"/>
    <w:rsid w:val="00A3473F"/>
    <w:rsid w:val="00A37CBF"/>
    <w:rsid w:val="00AA1D8D"/>
    <w:rsid w:val="00B47730"/>
    <w:rsid w:val="00B654FD"/>
    <w:rsid w:val="00B87CF3"/>
    <w:rsid w:val="00C814C5"/>
    <w:rsid w:val="00CB0664"/>
    <w:rsid w:val="00D063D4"/>
    <w:rsid w:val="00DC5CBE"/>
    <w:rsid w:val="00F636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B94A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1545BF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1545BF"/>
  </w:style>
  <w:style w:type="character" w:customStyle="1" w:styleId="aff1">
    <w:name w:val="コメント文字列 (文字)"/>
    <w:basedOn w:val="a2"/>
    <w:link w:val="aff0"/>
    <w:uiPriority w:val="99"/>
    <w:rsid w:val="001545BF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545BF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1545BF"/>
    <w:rPr>
      <w:b/>
      <w:bCs/>
    </w:rPr>
  </w:style>
  <w:style w:type="paragraph" w:styleId="aff4">
    <w:name w:val="Revision"/>
    <w:hidden/>
    <w:uiPriority w:val="99"/>
    <w:semiHidden/>
    <w:rsid w:val="005733DD"/>
    <w:pPr>
      <w:spacing w:after="0" w:line="240" w:lineRule="auto"/>
    </w:pPr>
  </w:style>
  <w:style w:type="character" w:styleId="aff5">
    <w:name w:val="Hyperlink"/>
    <w:basedOn w:val="a2"/>
    <w:uiPriority w:val="99"/>
    <w:unhideWhenUsed/>
    <w:rsid w:val="00B87CF3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B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396</Characters>
  <Application>Microsoft Office Word</Application>
  <DocSecurity>0</DocSecurity>
  <Lines>39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2025-12-05T08:22:00Z</dcterms:created>
  <dcterms:modified xsi:type="dcterms:W3CDTF">2025-12-05T08:22:00Z</dcterms:modified>
  <cp:category/>
</cp:coreProperties>
</file>