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下請法（2026年1月より「中小受託取引適正化法(取適法)」）改正後建設業界が注意すべきポイント一覧</w:t>
      </w:r>
    </w:p>
    <w:p w:rsidR="00000000" w:rsidDel="00000000" w:rsidP="00000000" w:rsidRDefault="00000000" w:rsidRPr="00000000" w14:paraId="00000002">
      <w:pPr>
        <w:rPr>
          <w:rFonts w:ascii="MS Mincho" w:cs="MS Mincho" w:eastAsia="MS Mincho" w:hAnsi="MS Mincho"/>
        </w:rPr>
      </w:pPr>
      <w:r w:rsidDel="00000000" w:rsidR="00000000" w:rsidRPr="00000000">
        <w:rPr>
          <w:rFonts w:ascii="MS Mincho" w:cs="MS Mincho" w:eastAsia="MS Mincho" w:hAnsi="MS Mincho"/>
          <w:rtl w:val="0"/>
        </w:rPr>
        <w:t xml:space="preserve">（※建設工事請負契約は下請法、工事契約以外の委託取引には取適法が適用される）</w:t>
      </w:r>
    </w:p>
    <w:tbl>
      <w:tblPr>
        <w:tblStyle w:val="Table1"/>
        <w:tblW w:w="987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5"/>
        <w:gridCol w:w="2970"/>
        <w:gridCol w:w="4545"/>
        <w:tblGridChange w:id="0">
          <w:tblGrid>
            <w:gridCol w:w="2355"/>
            <w:gridCol w:w="2970"/>
            <w:gridCol w:w="4545"/>
          </w:tblGrid>
        </w:tblGridChange>
      </w:tblGrid>
      <w:tr>
        <w:trPr>
          <w:cantSplit w:val="0"/>
          <w:trHeight w:val="392" w:hRule="atLeast"/>
          <w:tblHeader w:val="0"/>
        </w:trPr>
        <w:tc>
          <w:tcPr>
            <w:shd w:fill="a5c9eb" w:val="clear"/>
            <w:vAlign w:val="center"/>
          </w:tcPr>
          <w:p w:rsidR="00000000" w:rsidDel="00000000" w:rsidP="00000000" w:rsidRDefault="00000000" w:rsidRPr="00000000" w14:paraId="00000003">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改正後の変更箇所</w:t>
            </w:r>
          </w:p>
        </w:tc>
        <w:tc>
          <w:tcPr>
            <w:shd w:fill="a5c9eb" w:val="clear"/>
            <w:vAlign w:val="center"/>
          </w:tcPr>
          <w:p w:rsidR="00000000" w:rsidDel="00000000" w:rsidP="00000000" w:rsidRDefault="00000000" w:rsidRPr="00000000" w14:paraId="00000004">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具体的変更点</w:t>
            </w:r>
          </w:p>
        </w:tc>
        <w:tc>
          <w:tcPr>
            <w:shd w:fill="a5c9eb" w:val="clear"/>
            <w:vAlign w:val="center"/>
          </w:tcPr>
          <w:p w:rsidR="00000000" w:rsidDel="00000000" w:rsidP="00000000" w:rsidRDefault="00000000" w:rsidRPr="00000000" w14:paraId="00000005">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建設業界実務への影響</w:t>
            </w:r>
          </w:p>
        </w:tc>
      </w:tr>
      <w:tr>
        <w:trPr>
          <w:cantSplit w:val="0"/>
          <w:trHeight w:val="2034" w:hRule="atLeast"/>
          <w:tblHeader w:val="0"/>
        </w:trPr>
        <w:tc>
          <w:tcPr>
            <w:vAlign w:val="center"/>
          </w:tcPr>
          <w:p w:rsidR="00000000" w:rsidDel="00000000" w:rsidP="00000000" w:rsidRDefault="00000000" w:rsidRPr="00000000" w14:paraId="00000006">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法律用語の変更</w:t>
            </w:r>
          </w:p>
        </w:tc>
        <w:tc>
          <w:tcPr>
            <w:vAlign w:val="center"/>
          </w:tcPr>
          <w:p w:rsidR="00000000" w:rsidDel="00000000" w:rsidP="00000000" w:rsidRDefault="00000000" w:rsidRPr="00000000" w14:paraId="00000007">
            <w:pPr>
              <w:rPr>
                <w:rFonts w:ascii="MS Mincho" w:cs="MS Mincho" w:eastAsia="MS Mincho" w:hAnsi="MS Mincho"/>
              </w:rPr>
            </w:pPr>
            <w:r w:rsidDel="00000000" w:rsidR="00000000" w:rsidRPr="00000000">
              <w:rPr>
                <w:rFonts w:ascii="MS Mincho" w:cs="MS Mincho" w:eastAsia="MS Mincho" w:hAnsi="MS Mincho"/>
                <w:rtl w:val="0"/>
              </w:rPr>
              <w:t xml:space="preserve">従来の上下関係を思わせる「親事業者・下請事業者」という呼称を、「委託事業者・中小受託事業者」とし、立場を対等に</w:t>
            </w:r>
          </w:p>
        </w:tc>
        <w:tc>
          <w:tcPr>
            <w:vAlign w:val="center"/>
          </w:tcPr>
          <w:p w:rsidR="00000000" w:rsidDel="00000000" w:rsidP="00000000" w:rsidRDefault="00000000" w:rsidRPr="00000000" w14:paraId="00000008">
            <w:pPr>
              <w:rPr>
                <w:rFonts w:ascii="MS Mincho" w:cs="MS Mincho" w:eastAsia="MS Mincho" w:hAnsi="MS Mincho"/>
              </w:rPr>
            </w:pPr>
            <w:r w:rsidDel="00000000" w:rsidR="00000000" w:rsidRPr="00000000">
              <w:rPr>
                <w:rFonts w:ascii="MS Mincho" w:cs="MS Mincho" w:eastAsia="MS Mincho" w:hAnsi="MS Mincho"/>
                <w:rtl w:val="0"/>
              </w:rPr>
              <w:t xml:space="preserve">委託契約はもちろん、工事契約であっても元請人と下請人が当事者同士対等な立場で行えることが望ましい</w:t>
            </w:r>
          </w:p>
          <w:p w:rsidR="00000000" w:rsidDel="00000000" w:rsidP="00000000" w:rsidRDefault="00000000" w:rsidRPr="00000000" w14:paraId="00000009">
            <w:pPr>
              <w:rPr>
                <w:rFonts w:ascii="MS Mincho" w:cs="MS Mincho" w:eastAsia="MS Mincho" w:hAnsi="MS Mincho"/>
              </w:rPr>
            </w:pPr>
            <w:r w:rsidDel="00000000" w:rsidR="00000000" w:rsidRPr="00000000">
              <w:rPr>
                <w:rtl w:val="0"/>
              </w:rPr>
            </w:r>
          </w:p>
        </w:tc>
      </w:tr>
      <w:tr>
        <w:trPr>
          <w:cantSplit w:val="0"/>
          <w:trHeight w:val="1978" w:hRule="atLeast"/>
          <w:tblHeader w:val="0"/>
        </w:trPr>
        <w:tc>
          <w:tcPr>
            <w:vAlign w:val="center"/>
          </w:tcPr>
          <w:p w:rsidR="00000000" w:rsidDel="00000000" w:rsidP="00000000" w:rsidRDefault="00000000" w:rsidRPr="00000000" w14:paraId="0000000A">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価格据え置きの禁止</w:t>
            </w:r>
          </w:p>
        </w:tc>
        <w:tc>
          <w:tcPr>
            <w:vAlign w:val="center"/>
          </w:tcPr>
          <w:p w:rsidR="00000000" w:rsidDel="00000000" w:rsidP="00000000" w:rsidRDefault="00000000" w:rsidRPr="00000000" w14:paraId="0000000B">
            <w:pPr>
              <w:rPr>
                <w:rFonts w:ascii="MS Mincho" w:cs="MS Mincho" w:eastAsia="MS Mincho" w:hAnsi="MS Mincho"/>
              </w:rPr>
            </w:pPr>
            <w:r w:rsidDel="00000000" w:rsidR="00000000" w:rsidRPr="00000000">
              <w:rPr>
                <w:rFonts w:ascii="MS Mincho" w:cs="MS Mincho" w:eastAsia="MS Mincho" w:hAnsi="MS Mincho"/>
                <w:rtl w:val="0"/>
              </w:rPr>
              <w:t xml:space="preserve">受託事業者が原価上昇を理由に価格見直しを求めた際、委託事業者は誠実に協議に応じる義務</w:t>
            </w:r>
          </w:p>
        </w:tc>
        <w:tc>
          <w:tcPr>
            <w:vAlign w:val="center"/>
          </w:tcPr>
          <w:p w:rsidR="00000000" w:rsidDel="00000000" w:rsidP="00000000" w:rsidRDefault="00000000" w:rsidRPr="00000000" w14:paraId="0000000C">
            <w:pPr>
              <w:rPr>
                <w:rFonts w:ascii="MS Mincho" w:cs="MS Mincho" w:eastAsia="MS Mincho" w:hAnsi="MS Mincho"/>
              </w:rPr>
            </w:pPr>
            <w:r w:rsidDel="00000000" w:rsidR="00000000" w:rsidRPr="00000000">
              <w:rPr>
                <w:rFonts w:ascii="MS Mincho" w:cs="MS Mincho" w:eastAsia="MS Mincho" w:hAnsi="MS Mincho"/>
                <w:rtl w:val="0"/>
              </w:rPr>
              <w:t xml:space="preserve">2024年建設業法改正により、工事契約であっても同様の内容を契約条項に入れることが求められている</w:t>
            </w:r>
          </w:p>
        </w:tc>
      </w:tr>
      <w:tr>
        <w:trPr>
          <w:cantSplit w:val="0"/>
          <w:trHeight w:val="1978" w:hRule="atLeast"/>
          <w:tblHeader w:val="0"/>
        </w:trPr>
        <w:tc>
          <w:tcPr>
            <w:vAlign w:val="center"/>
          </w:tcPr>
          <w:p w:rsidR="00000000" w:rsidDel="00000000" w:rsidP="00000000" w:rsidRDefault="00000000" w:rsidRPr="00000000" w14:paraId="0000000D">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手形払いの禁止</w:t>
            </w:r>
          </w:p>
        </w:tc>
        <w:tc>
          <w:tcPr>
            <w:vAlign w:val="center"/>
          </w:tcPr>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rtl w:val="0"/>
              </w:rPr>
              <w:t xml:space="preserve">支払期日までに現金で満額を受け取れる支払方法のみ可能</w:t>
            </w:r>
          </w:p>
        </w:tc>
        <w:tc>
          <w:tcPr>
            <w:vAlign w:val="center"/>
          </w:tcPr>
          <w:p w:rsidR="00000000" w:rsidDel="00000000" w:rsidP="00000000" w:rsidRDefault="00000000" w:rsidRPr="00000000" w14:paraId="0000000F">
            <w:pPr>
              <w:rPr>
                <w:rFonts w:ascii="MS Mincho" w:cs="MS Mincho" w:eastAsia="MS Mincho" w:hAnsi="MS Mincho"/>
              </w:rPr>
            </w:pPr>
            <w:r w:rsidDel="00000000" w:rsidR="00000000" w:rsidRPr="00000000">
              <w:rPr>
                <w:rFonts w:ascii="MS Mincho" w:cs="MS Mincho" w:eastAsia="MS Mincho" w:hAnsi="MS Mincho"/>
                <w:rtl w:val="0"/>
              </w:rPr>
              <w:t xml:space="preserve">「60日支払ルール」の遵守</w:t>
            </w:r>
          </w:p>
          <w:p w:rsidR="00000000" w:rsidDel="00000000" w:rsidP="00000000" w:rsidRDefault="00000000" w:rsidRPr="00000000" w14:paraId="00000010">
            <w:pPr>
              <w:rPr>
                <w:rFonts w:ascii="MS Mincho" w:cs="MS Mincho" w:eastAsia="MS Mincho" w:hAnsi="MS Mincho"/>
              </w:rPr>
            </w:pPr>
            <w:r w:rsidDel="00000000" w:rsidR="00000000" w:rsidRPr="00000000">
              <w:rPr>
                <w:rFonts w:ascii="MS Mincho" w:cs="MS Mincho" w:eastAsia="MS Mincho" w:hAnsi="MS Mincho"/>
                <w:rtl w:val="0"/>
              </w:rPr>
              <w:t xml:space="preserve">建設業法でも割引困難な手形の交付は禁止されているので、手形から現金振込への支払体制に移行することが望ましい</w:t>
            </w:r>
          </w:p>
        </w:tc>
      </w:tr>
      <w:tr>
        <w:trPr>
          <w:cantSplit w:val="0"/>
          <w:trHeight w:val="1256" w:hRule="atLeast"/>
          <w:tblHeader w:val="0"/>
        </w:trPr>
        <w:tc>
          <w:tcPr>
            <w:vAlign w:val="center"/>
          </w:tcPr>
          <w:p w:rsidR="00000000" w:rsidDel="00000000" w:rsidP="00000000" w:rsidRDefault="00000000" w:rsidRPr="00000000" w14:paraId="00000011">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適用範囲の拡大</w:t>
            </w:r>
          </w:p>
        </w:tc>
        <w:tc>
          <w:tcPr>
            <w:vAlign w:val="center"/>
          </w:tcPr>
          <w:p w:rsidR="00000000" w:rsidDel="00000000" w:rsidP="00000000" w:rsidRDefault="00000000" w:rsidRPr="00000000" w14:paraId="00000012">
            <w:pPr>
              <w:rPr>
                <w:rFonts w:ascii="MS Mincho" w:cs="MS Mincho" w:eastAsia="MS Mincho" w:hAnsi="MS Mincho"/>
              </w:rPr>
            </w:pPr>
            <w:r w:rsidDel="00000000" w:rsidR="00000000" w:rsidRPr="00000000">
              <w:rPr>
                <w:rFonts w:ascii="MS Mincho" w:cs="MS Mincho" w:eastAsia="MS Mincho" w:hAnsi="MS Mincho"/>
                <w:rtl w:val="0"/>
              </w:rPr>
              <w:t xml:space="preserve">委託、受託各事業者の従業員数基準が新導入</w:t>
            </w:r>
          </w:p>
        </w:tc>
        <w:tc>
          <w:tcPr>
            <w:vAlign w:val="center"/>
          </w:tcPr>
          <w:p w:rsidR="00000000" w:rsidDel="00000000" w:rsidP="00000000" w:rsidRDefault="00000000" w:rsidRPr="00000000" w14:paraId="00000013">
            <w:pPr>
              <w:rPr>
                <w:rFonts w:ascii="MS Mincho" w:cs="MS Mincho" w:eastAsia="MS Mincho" w:hAnsi="MS Mincho"/>
              </w:rPr>
            </w:pPr>
            <w:r w:rsidDel="00000000" w:rsidR="00000000" w:rsidRPr="00000000">
              <w:rPr>
                <w:rFonts w:ascii="MS Mincho" w:cs="MS Mincho" w:eastAsia="MS Mincho" w:hAnsi="MS Mincho"/>
                <w:rtl w:val="0"/>
              </w:rPr>
              <w:t xml:space="preserve">委託業務の契約書に、取引先の従業員数を確認する項目をなるべく追加</w:t>
            </w:r>
          </w:p>
        </w:tc>
      </w:tr>
      <w:tr>
        <w:trPr>
          <w:cantSplit w:val="0"/>
          <w:trHeight w:val="1415" w:hRule="atLeast"/>
          <w:tblHeader w:val="0"/>
        </w:trPr>
        <w:tc>
          <w:tcPr>
            <w:vAlign w:val="center"/>
          </w:tcPr>
          <w:p w:rsidR="00000000" w:rsidDel="00000000" w:rsidP="00000000" w:rsidRDefault="00000000" w:rsidRPr="00000000" w14:paraId="00000014">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運送委託の追加</w:t>
            </w:r>
          </w:p>
        </w:tc>
        <w:tc>
          <w:tcPr>
            <w:vAlign w:val="center"/>
          </w:tcPr>
          <w:p w:rsidR="00000000" w:rsidDel="00000000" w:rsidP="00000000" w:rsidRDefault="00000000" w:rsidRPr="00000000" w14:paraId="00000015">
            <w:pPr>
              <w:rPr>
                <w:rFonts w:ascii="MS Mincho" w:cs="MS Mincho" w:eastAsia="MS Mincho" w:hAnsi="MS Mincho"/>
              </w:rPr>
            </w:pPr>
            <w:r w:rsidDel="00000000" w:rsidR="00000000" w:rsidRPr="00000000">
              <w:rPr>
                <w:rFonts w:ascii="MS Mincho" w:cs="MS Mincho" w:eastAsia="MS Mincho" w:hAnsi="MS Mincho"/>
                <w:rtl w:val="0"/>
              </w:rPr>
              <w:t xml:space="preserve">運送行為の一部を明確に委託事業とする</w:t>
            </w:r>
          </w:p>
        </w:tc>
        <w:tc>
          <w:tcPr>
            <w:vAlign w:val="center"/>
          </w:tcPr>
          <w:p w:rsidR="00000000" w:rsidDel="00000000" w:rsidP="00000000" w:rsidRDefault="00000000" w:rsidRPr="00000000" w14:paraId="00000016">
            <w:pPr>
              <w:rPr>
                <w:rFonts w:ascii="MS Mincho" w:cs="MS Mincho" w:eastAsia="MS Mincho" w:hAnsi="MS Mincho"/>
              </w:rPr>
            </w:pPr>
            <w:r w:rsidDel="00000000" w:rsidR="00000000" w:rsidRPr="00000000">
              <w:rPr>
                <w:rFonts w:ascii="MS Mincho" w:cs="MS Mincho" w:eastAsia="MS Mincho" w:hAnsi="MS Mincho"/>
                <w:rtl w:val="0"/>
              </w:rPr>
              <w:t xml:space="preserve">建設現場への資材配送などの行為が、建設工事ではなく運送委託となる可能性があるため、見直しが必要</w:t>
            </w:r>
          </w:p>
        </w:tc>
      </w:tr>
    </w:tbl>
    <w:p w:rsidR="00000000" w:rsidDel="00000000" w:rsidP="00000000" w:rsidRDefault="00000000" w:rsidRPr="00000000" w14:paraId="00000017">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EB2448"/>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EB2448"/>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EB2448"/>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EB2448"/>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semiHidden w:val="1"/>
    <w:rsid w:val="00EB2448"/>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EB2448"/>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EB2448"/>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EB2448"/>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EB2448"/>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EB2448"/>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EB2448"/>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EB2448"/>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EB2448"/>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EB2448"/>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EB2448"/>
    <w:pPr>
      <w:spacing w:after="160" w:before="160"/>
      <w:jc w:val="center"/>
    </w:pPr>
    <w:rPr>
      <w:i w:val="1"/>
      <w:iCs w:val="1"/>
      <w:color w:val="404040" w:themeColor="text1" w:themeTint="0000BF"/>
    </w:rPr>
  </w:style>
  <w:style w:type="character" w:styleId="a8" w:customStyle="1">
    <w:name w:val="引用文 (文字)"/>
    <w:basedOn w:val="a0"/>
    <w:link w:val="a7"/>
    <w:uiPriority w:val="29"/>
    <w:rsid w:val="00EB2448"/>
    <w:rPr>
      <w:i w:val="1"/>
      <w:iCs w:val="1"/>
      <w:color w:val="404040" w:themeColor="text1" w:themeTint="0000BF"/>
    </w:rPr>
  </w:style>
  <w:style w:type="paragraph" w:styleId="a9">
    <w:name w:val="List Paragraph"/>
    <w:basedOn w:val="a"/>
    <w:uiPriority w:val="34"/>
    <w:qFormat w:val="1"/>
    <w:rsid w:val="00EB2448"/>
    <w:pPr>
      <w:ind w:left="720"/>
      <w:contextualSpacing w:val="1"/>
    </w:pPr>
  </w:style>
  <w:style w:type="character" w:styleId="21">
    <w:name w:val="Intense Emphasis"/>
    <w:basedOn w:val="a0"/>
    <w:uiPriority w:val="21"/>
    <w:qFormat w:val="1"/>
    <w:rsid w:val="00EB2448"/>
    <w:rPr>
      <w:i w:val="1"/>
      <w:iCs w:val="1"/>
      <w:color w:val="0f4761" w:themeColor="accent1" w:themeShade="0000BF"/>
    </w:rPr>
  </w:style>
  <w:style w:type="paragraph" w:styleId="22">
    <w:name w:val="Intense Quote"/>
    <w:basedOn w:val="a"/>
    <w:next w:val="a"/>
    <w:link w:val="23"/>
    <w:uiPriority w:val="30"/>
    <w:qFormat w:val="1"/>
    <w:rsid w:val="00EB244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23" w:customStyle="1">
    <w:name w:val="引用文 2 (文字)"/>
    <w:basedOn w:val="a0"/>
    <w:link w:val="22"/>
    <w:uiPriority w:val="30"/>
    <w:rsid w:val="00EB2448"/>
    <w:rPr>
      <w:i w:val="1"/>
      <w:iCs w:val="1"/>
      <w:color w:val="0f4761" w:themeColor="accent1" w:themeShade="0000BF"/>
    </w:rPr>
  </w:style>
  <w:style w:type="character" w:styleId="24">
    <w:name w:val="Intense Reference"/>
    <w:basedOn w:val="a0"/>
    <w:uiPriority w:val="32"/>
    <w:qFormat w:val="1"/>
    <w:rsid w:val="00EB2448"/>
    <w:rPr>
      <w:b w:val="1"/>
      <w:bCs w:val="1"/>
      <w:smallCaps w:val="1"/>
      <w:color w:val="0f4761" w:themeColor="accent1" w:themeShade="0000BF"/>
      <w:spacing w:val="5"/>
    </w:rPr>
  </w:style>
  <w:style w:type="table" w:styleId="aa">
    <w:name w:val="Table Grid"/>
    <w:basedOn w:val="a1"/>
    <w:uiPriority w:val="39"/>
    <w:rsid w:val="004D7E2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Gx5V5O+3XqgpYzEHZmnXWMWxA==">CgMxLjA4AHIhMWdJUzI1V2lBUkxQa19BYzZNNUM2dXhZQ2MzX0dBOWxE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2026-02-06T03:49:00Z</dcterms:created>
</cp:coreProperties>
</file>